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0E1" w:rsidRPr="00FE7C7C" w:rsidRDefault="00AB40E1" w:rsidP="00FE7C7C">
      <w:pPr>
        <w:spacing w:line="360" w:lineRule="auto"/>
        <w:jc w:val="both"/>
        <w:rPr>
          <w:rFonts w:ascii="Times New Roman" w:hAnsi="Times New Roman"/>
          <w:sz w:val="20"/>
          <w:szCs w:val="20"/>
        </w:rPr>
      </w:pPr>
      <w:r w:rsidRPr="00D06D0B">
        <w:rPr>
          <w:rFonts w:ascii="Times New Roman" w:hAnsi="Times New Roman"/>
          <w:noProof/>
          <w:sz w:val="20"/>
          <w:szCs w:val="20"/>
          <w:lang w:val="bg-B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1" o:spid="_x0000_i1025" type="#_x0000_t75" style="width:470.25pt;height:63.75pt;visibility:visible">
            <v:imagedata r:id="rId5" o:title=""/>
          </v:shape>
        </w:pict>
      </w:r>
    </w:p>
    <w:p w:rsidR="00AB40E1" w:rsidRPr="00FE7C7C" w:rsidRDefault="00AB40E1" w:rsidP="00FE7C7C">
      <w:pPr>
        <w:spacing w:line="360" w:lineRule="auto"/>
        <w:jc w:val="both"/>
        <w:rPr>
          <w:rFonts w:ascii="Times New Roman" w:hAnsi="Times New Roman"/>
          <w:sz w:val="20"/>
          <w:szCs w:val="20"/>
        </w:rPr>
      </w:pPr>
    </w:p>
    <w:p w:rsidR="00AB40E1" w:rsidRPr="00FE7C7C" w:rsidRDefault="00AB40E1" w:rsidP="00FE7C7C">
      <w:pPr>
        <w:spacing w:line="360" w:lineRule="auto"/>
        <w:jc w:val="both"/>
        <w:rPr>
          <w:rFonts w:ascii="Times New Roman" w:hAnsi="Times New Roman"/>
          <w:bCs/>
          <w:sz w:val="20"/>
          <w:szCs w:val="20"/>
          <w:lang w:val="ru-RU"/>
        </w:rPr>
      </w:pPr>
      <w:r w:rsidRPr="00FE7C7C">
        <w:rPr>
          <w:rFonts w:ascii="Times New Roman" w:hAnsi="Times New Roman"/>
          <w:bCs/>
          <w:sz w:val="20"/>
          <w:szCs w:val="20"/>
          <w:lang w:val="ru-RU"/>
        </w:rPr>
        <w:t xml:space="preserve">                                                                                                                                               </w:t>
      </w:r>
      <w:r w:rsidRPr="00D06D0B">
        <w:rPr>
          <w:rFonts w:ascii="Times New Roman" w:hAnsi="Times New Roman"/>
          <w:noProof/>
          <w:sz w:val="20"/>
          <w:szCs w:val="20"/>
          <w:lang w:val="bg-BG" w:eastAsia="bg-BG"/>
        </w:rPr>
        <w:pict>
          <v:shape id="Картина 2" o:spid="_x0000_i1026" type="#_x0000_t75" style="width:90.75pt;height:32.25pt;visibility:visible">
            <v:imagedata r:id="rId6" o:title=""/>
          </v:shape>
        </w:pict>
      </w:r>
    </w:p>
    <w:p w:rsidR="00AB40E1" w:rsidRPr="00FE7C7C" w:rsidRDefault="00AB40E1" w:rsidP="00FE7C7C">
      <w:pPr>
        <w:spacing w:line="360" w:lineRule="auto"/>
        <w:jc w:val="both"/>
        <w:rPr>
          <w:rFonts w:ascii="Times New Roman" w:hAnsi="Times New Roman"/>
          <w:sz w:val="20"/>
          <w:szCs w:val="20"/>
          <w:lang w:val="ru-RU"/>
        </w:rPr>
      </w:pPr>
      <w:r w:rsidRPr="00FE7C7C">
        <w:rPr>
          <w:rFonts w:ascii="Times New Roman" w:hAnsi="Times New Roman"/>
          <w:sz w:val="20"/>
          <w:szCs w:val="20"/>
          <w:lang w:val="ru-RU"/>
        </w:rPr>
        <w:t xml:space="preserve">                                                                                                                        ОДОБРЯВАМ:……………...</w:t>
      </w:r>
    </w:p>
    <w:p w:rsidR="00AB40E1" w:rsidRPr="00FE7C7C" w:rsidRDefault="00AB40E1" w:rsidP="00FE7C7C">
      <w:pPr>
        <w:spacing w:line="360" w:lineRule="auto"/>
        <w:jc w:val="both"/>
        <w:rPr>
          <w:rFonts w:ascii="Times New Roman" w:hAnsi="Times New Roman"/>
          <w:caps/>
          <w:sz w:val="20"/>
          <w:szCs w:val="20"/>
          <w:lang w:val="ru-RU"/>
        </w:rPr>
      </w:pPr>
      <w:r w:rsidRPr="00FE7C7C">
        <w:rPr>
          <w:rFonts w:ascii="Times New Roman" w:hAnsi="Times New Roman"/>
          <w:sz w:val="20"/>
          <w:szCs w:val="20"/>
          <w:lang w:val="ru-RU"/>
        </w:rPr>
        <w:t xml:space="preserve">                                                                                                                        </w:t>
      </w:r>
      <w:r w:rsidRPr="00FE7C7C">
        <w:rPr>
          <w:rFonts w:ascii="Times New Roman" w:hAnsi="Times New Roman"/>
          <w:caps/>
          <w:sz w:val="20"/>
          <w:szCs w:val="20"/>
          <w:lang w:val="ru-RU"/>
        </w:rPr>
        <w:t>Косьо Христов Косев</w:t>
      </w:r>
      <w:r w:rsidRPr="00FE7C7C">
        <w:rPr>
          <w:rFonts w:ascii="Times New Roman" w:hAnsi="Times New Roman"/>
          <w:caps/>
          <w:sz w:val="20"/>
          <w:szCs w:val="20"/>
          <w:lang w:val="ru-RU"/>
        </w:rPr>
        <w:tab/>
      </w:r>
    </w:p>
    <w:p w:rsidR="00AB40E1" w:rsidRPr="00FE7C7C" w:rsidRDefault="00AB40E1" w:rsidP="00FE7C7C">
      <w:pPr>
        <w:spacing w:line="360" w:lineRule="auto"/>
        <w:jc w:val="both"/>
        <w:rPr>
          <w:rFonts w:ascii="Times New Roman" w:hAnsi="Times New Roman"/>
          <w:i/>
          <w:color w:val="000000"/>
          <w:sz w:val="20"/>
          <w:szCs w:val="20"/>
          <w:lang w:val="ru-RU"/>
        </w:rPr>
      </w:pPr>
      <w:r w:rsidRPr="00FE7C7C">
        <w:rPr>
          <w:rFonts w:ascii="Times New Roman" w:hAnsi="Times New Roman"/>
          <w:i/>
          <w:sz w:val="20"/>
          <w:szCs w:val="20"/>
          <w:lang w:val="ru-RU"/>
        </w:rPr>
        <w:t xml:space="preserve">                                                                                                                        КМЕТ НА ОБЩИНА НИКОЛАЕВО</w:t>
      </w:r>
      <w:r w:rsidRPr="00FE7C7C">
        <w:rPr>
          <w:rFonts w:ascii="Times New Roman" w:hAnsi="Times New Roman"/>
          <w:i/>
          <w:sz w:val="20"/>
          <w:szCs w:val="20"/>
          <w:lang w:val="ru-RU"/>
        </w:rPr>
        <w:tab/>
      </w:r>
    </w:p>
    <w:p w:rsidR="00AB40E1" w:rsidRPr="00FE7C7C" w:rsidRDefault="00AB40E1" w:rsidP="00FE7C7C">
      <w:pPr>
        <w:spacing w:line="360" w:lineRule="auto"/>
        <w:jc w:val="both"/>
        <w:rPr>
          <w:rFonts w:ascii="Times New Roman" w:hAnsi="Times New Roman"/>
          <w:sz w:val="20"/>
          <w:szCs w:val="20"/>
          <w:lang w:val="ru-RU"/>
        </w:rPr>
      </w:pPr>
    </w:p>
    <w:p w:rsidR="00AB40E1" w:rsidRPr="00FE7C7C" w:rsidRDefault="00AB40E1" w:rsidP="00FE7C7C">
      <w:pPr>
        <w:spacing w:line="360" w:lineRule="auto"/>
        <w:jc w:val="both"/>
        <w:rPr>
          <w:rFonts w:ascii="Times New Roman" w:hAnsi="Times New Roman"/>
          <w:sz w:val="20"/>
          <w:szCs w:val="20"/>
          <w:lang w:val="ru-RU"/>
        </w:rPr>
      </w:pPr>
    </w:p>
    <w:p w:rsidR="00AB40E1" w:rsidRPr="00F77169" w:rsidRDefault="00AB40E1" w:rsidP="00FE7C7C">
      <w:pPr>
        <w:spacing w:line="360" w:lineRule="auto"/>
        <w:jc w:val="center"/>
        <w:rPr>
          <w:rFonts w:ascii="Times New Roman" w:hAnsi="Times New Roman"/>
          <w:b/>
          <w:sz w:val="20"/>
          <w:szCs w:val="20"/>
          <w:u w:val="single"/>
          <w:lang w:val="ru-RU"/>
        </w:rPr>
      </w:pPr>
      <w:r w:rsidRPr="00F77169">
        <w:rPr>
          <w:rFonts w:ascii="Times New Roman" w:hAnsi="Times New Roman"/>
          <w:b/>
          <w:sz w:val="20"/>
          <w:szCs w:val="20"/>
          <w:u w:val="single"/>
          <w:lang w:val="ru-RU"/>
        </w:rPr>
        <w:t>ТЕХНИЧЕСКА СПЕЦИФИКАЦИЯ</w:t>
      </w:r>
    </w:p>
    <w:p w:rsidR="00AB40E1" w:rsidRPr="00F77169" w:rsidRDefault="00AB40E1" w:rsidP="00FE7C7C">
      <w:pPr>
        <w:spacing w:line="360" w:lineRule="auto"/>
        <w:jc w:val="center"/>
        <w:rPr>
          <w:rFonts w:ascii="Times New Roman" w:hAnsi="Times New Roman"/>
          <w:b/>
          <w:sz w:val="20"/>
          <w:szCs w:val="20"/>
          <w:lang w:val="ru-RU"/>
        </w:rPr>
      </w:pPr>
      <w:r w:rsidRPr="00F77169">
        <w:rPr>
          <w:rFonts w:ascii="Times New Roman" w:hAnsi="Times New Roman"/>
          <w:b/>
          <w:sz w:val="20"/>
          <w:szCs w:val="20"/>
          <w:lang w:val="ru-RU"/>
        </w:rPr>
        <w:t>ОТНОСНО  ПРОЦЕДУРА ЗА ИЗБОР НА ИЗПЪЛНИТЕЛ НА ОБЩЕСТВЕНА ПОРЪЧКА</w:t>
      </w:r>
    </w:p>
    <w:p w:rsidR="00AB40E1" w:rsidRPr="00F77169" w:rsidRDefault="00AB40E1" w:rsidP="00FE7C7C">
      <w:pPr>
        <w:spacing w:line="360" w:lineRule="auto"/>
        <w:jc w:val="center"/>
        <w:rPr>
          <w:rFonts w:ascii="Times New Roman" w:hAnsi="Times New Roman"/>
          <w:b/>
          <w:sz w:val="20"/>
          <w:szCs w:val="20"/>
          <w:lang w:val="ru-RU"/>
        </w:rPr>
      </w:pPr>
      <w:r w:rsidRPr="00F77169">
        <w:rPr>
          <w:rFonts w:ascii="Times New Roman" w:hAnsi="Times New Roman"/>
          <w:b/>
          <w:sz w:val="20"/>
          <w:szCs w:val="20"/>
          <w:lang w:val="ru-RU"/>
        </w:rPr>
        <w:t>ЧРЕЗ ОБЯВА ЗА СЪБИРАНЕ НА ОФЕРТИ</w:t>
      </w:r>
    </w:p>
    <w:p w:rsidR="00AB40E1" w:rsidRPr="00F77169" w:rsidRDefault="00AB40E1" w:rsidP="00FE7C7C">
      <w:pPr>
        <w:spacing w:line="360" w:lineRule="auto"/>
        <w:jc w:val="center"/>
        <w:rPr>
          <w:rFonts w:ascii="Times New Roman" w:hAnsi="Times New Roman"/>
          <w:b/>
          <w:sz w:val="20"/>
          <w:szCs w:val="20"/>
          <w:lang w:val="ru-RU"/>
        </w:rPr>
      </w:pPr>
      <w:r w:rsidRPr="00F77169">
        <w:rPr>
          <w:rFonts w:ascii="Times New Roman" w:hAnsi="Times New Roman"/>
          <w:b/>
          <w:sz w:val="20"/>
          <w:szCs w:val="20"/>
          <w:lang w:val="ru-RU"/>
        </w:rPr>
        <w:t>С ПРЕДМЕТ:</w:t>
      </w:r>
    </w:p>
    <w:p w:rsidR="00AB40E1" w:rsidRPr="00FE7C7C" w:rsidRDefault="00AB40E1" w:rsidP="00FE7C7C">
      <w:pPr>
        <w:spacing w:line="360" w:lineRule="auto"/>
        <w:jc w:val="both"/>
        <w:rPr>
          <w:rFonts w:ascii="Times New Roman" w:hAnsi="Times New Roman"/>
          <w:sz w:val="20"/>
          <w:szCs w:val="20"/>
          <w:lang w:val="ru-RU"/>
        </w:rPr>
      </w:pPr>
    </w:p>
    <w:p w:rsidR="00AB40E1" w:rsidRPr="00FE7C7C" w:rsidRDefault="00AB40E1" w:rsidP="00FE7C7C">
      <w:pPr>
        <w:spacing w:line="360" w:lineRule="auto"/>
        <w:jc w:val="both"/>
        <w:rPr>
          <w:rFonts w:ascii="Times New Roman" w:hAnsi="Times New Roman"/>
          <w:sz w:val="20"/>
          <w:szCs w:val="20"/>
          <w:lang w:val="ru-RU"/>
        </w:rPr>
      </w:pPr>
    </w:p>
    <w:p w:rsidR="00AB40E1" w:rsidRPr="00FE7C7C" w:rsidRDefault="00AB40E1" w:rsidP="00FE7C7C">
      <w:pPr>
        <w:spacing w:line="360" w:lineRule="auto"/>
        <w:jc w:val="center"/>
        <w:rPr>
          <w:rFonts w:ascii="Times New Roman" w:hAnsi="Times New Roman"/>
          <w:i/>
          <w:sz w:val="20"/>
          <w:szCs w:val="20"/>
          <w:lang w:val="ru-RU"/>
        </w:rPr>
      </w:pPr>
      <w:r w:rsidRPr="00FE7C7C">
        <w:rPr>
          <w:rFonts w:ascii="Times New Roman" w:hAnsi="Times New Roman"/>
          <w:sz w:val="20"/>
          <w:szCs w:val="20"/>
          <w:lang w:val="ru-RU"/>
        </w:rPr>
        <w:t xml:space="preserve">„Изготвяне на технически проект за обект: </w:t>
      </w:r>
      <w:r w:rsidRPr="00FE7C7C">
        <w:rPr>
          <w:rFonts w:ascii="Times New Roman" w:hAnsi="Times New Roman"/>
          <w:i/>
          <w:sz w:val="20"/>
          <w:szCs w:val="20"/>
          <w:lang w:val="ru-RU"/>
        </w:rPr>
        <w:t>„ Строителство на улици от улична мрежа в гр. Николаево, с. Елхово, с. Едрево, с. Нова махала, община Николаево,   във връзка с кандидатстване  по подмярка 7.2 към Програма за развитие на селските райони 2014-2020 г.”</w:t>
      </w:r>
    </w:p>
    <w:p w:rsidR="00AB40E1" w:rsidRPr="00FE7C7C" w:rsidRDefault="00AB40E1" w:rsidP="00FE7C7C">
      <w:pPr>
        <w:spacing w:line="360" w:lineRule="auto"/>
        <w:jc w:val="center"/>
        <w:rPr>
          <w:rFonts w:ascii="Times New Roman" w:hAnsi="Times New Roman"/>
          <w:i/>
          <w:sz w:val="20"/>
          <w:szCs w:val="20"/>
          <w:lang w:val="ru-RU"/>
        </w:rPr>
      </w:pPr>
    </w:p>
    <w:p w:rsidR="00AB40E1" w:rsidRPr="00FE7C7C" w:rsidRDefault="00AB40E1" w:rsidP="00FE7C7C">
      <w:pPr>
        <w:spacing w:line="360" w:lineRule="auto"/>
        <w:jc w:val="center"/>
        <w:rPr>
          <w:rFonts w:ascii="Times New Roman" w:hAnsi="Times New Roman"/>
          <w:sz w:val="20"/>
          <w:szCs w:val="20"/>
          <w:lang w:val="ru-RU"/>
        </w:rPr>
      </w:pPr>
    </w:p>
    <w:p w:rsidR="00AB40E1" w:rsidRPr="00FE7C7C" w:rsidRDefault="00AB40E1" w:rsidP="00FE7C7C">
      <w:pPr>
        <w:pStyle w:val="BodyText"/>
        <w:spacing w:line="360" w:lineRule="auto"/>
        <w:jc w:val="center"/>
        <w:rPr>
          <w:lang w:val="ru-RU"/>
        </w:rPr>
      </w:pPr>
      <w:r w:rsidRPr="00FE7C7C">
        <w:rPr>
          <w:lang w:val="bg-BG"/>
        </w:rPr>
        <w:t>ПО РЕДА НА ГЛАВА ДВАДЕСЕТ И ШЕСТА ОТ ЗОП,</w:t>
      </w:r>
    </w:p>
    <w:p w:rsidR="00AB40E1" w:rsidRPr="00FE7C7C" w:rsidRDefault="00AB40E1" w:rsidP="00FE7C7C">
      <w:pPr>
        <w:pStyle w:val="BodyText"/>
        <w:spacing w:line="360" w:lineRule="auto"/>
        <w:jc w:val="center"/>
        <w:rPr>
          <w:caps/>
          <w:lang w:val="bg-BG"/>
        </w:rPr>
      </w:pPr>
      <w:r w:rsidRPr="00FE7C7C">
        <w:rPr>
          <w:lang w:val="bg-BG"/>
        </w:rPr>
        <w:t>ВЪВ ВРЪЗКА С ЧЛ.20, АЛ.3, Т.2 ОТ ЗОП</w:t>
      </w:r>
    </w:p>
    <w:p w:rsidR="00AB40E1" w:rsidRPr="00FE7C7C" w:rsidRDefault="00AB40E1" w:rsidP="00FE7C7C">
      <w:pPr>
        <w:pStyle w:val="BodyText"/>
        <w:spacing w:line="360" w:lineRule="auto"/>
        <w:jc w:val="center"/>
        <w:rPr>
          <w:caps/>
          <w:lang w:val="ru-RU"/>
        </w:rPr>
      </w:pPr>
    </w:p>
    <w:p w:rsidR="00AB40E1" w:rsidRPr="00FE7C7C" w:rsidRDefault="00AB40E1" w:rsidP="00FE7C7C">
      <w:pPr>
        <w:pStyle w:val="BodyText"/>
        <w:spacing w:line="360" w:lineRule="auto"/>
        <w:jc w:val="center"/>
        <w:rPr>
          <w:caps/>
          <w:lang w:val="ru-RU"/>
        </w:rPr>
      </w:pPr>
    </w:p>
    <w:p w:rsidR="00AB40E1" w:rsidRPr="00FE7C7C" w:rsidRDefault="00AB40E1" w:rsidP="00FE7C7C">
      <w:pPr>
        <w:pStyle w:val="BodyText"/>
        <w:spacing w:line="360" w:lineRule="auto"/>
        <w:jc w:val="center"/>
        <w:rPr>
          <w:caps/>
          <w:lang w:val="ru-RU"/>
        </w:rPr>
      </w:pPr>
    </w:p>
    <w:p w:rsidR="00AB40E1" w:rsidRPr="00FE7C7C" w:rsidRDefault="00AB40E1" w:rsidP="00FE7C7C">
      <w:pPr>
        <w:pStyle w:val="BodyText"/>
        <w:spacing w:line="360" w:lineRule="auto"/>
        <w:jc w:val="center"/>
        <w:rPr>
          <w:u w:val="single"/>
          <w:lang w:val="bg-BG"/>
        </w:rPr>
      </w:pPr>
      <w:r w:rsidRPr="00FE7C7C">
        <w:rPr>
          <w:caps/>
          <w:lang w:val="bg-BG"/>
        </w:rPr>
        <w:t>ОБЩИНА НИКОЛАЕВО, ГР. НИКОЛАЕВО</w:t>
      </w:r>
    </w:p>
    <w:p w:rsidR="00AB40E1" w:rsidRPr="00FE7C7C" w:rsidRDefault="00AB40E1" w:rsidP="00FE7C7C">
      <w:pPr>
        <w:pStyle w:val="BodyText"/>
        <w:spacing w:line="360" w:lineRule="auto"/>
        <w:jc w:val="center"/>
        <w:rPr>
          <w:lang w:val="bg-BG"/>
        </w:rPr>
      </w:pPr>
      <w:r w:rsidRPr="00FE7C7C">
        <w:rPr>
          <w:lang w:val="ru-RU"/>
        </w:rPr>
        <w:t>2018г.</w:t>
      </w:r>
    </w:p>
    <w:p w:rsidR="00AB40E1" w:rsidRPr="00FE7C7C" w:rsidRDefault="00AB40E1" w:rsidP="00FE7C7C">
      <w:pPr>
        <w:pStyle w:val="BodyText"/>
        <w:spacing w:line="360" w:lineRule="auto"/>
        <w:jc w:val="both"/>
        <w:rPr>
          <w:lang w:val="bg-BG"/>
        </w:rPr>
      </w:pPr>
    </w:p>
    <w:p w:rsidR="00AB40E1" w:rsidRPr="00FE7C7C" w:rsidRDefault="00AB40E1" w:rsidP="00FE7C7C">
      <w:pPr>
        <w:pStyle w:val="BodyText"/>
        <w:spacing w:line="360" w:lineRule="auto"/>
        <w:jc w:val="both"/>
        <w:rPr>
          <w:u w:val="single"/>
          <w:lang w:val="bg-BG"/>
        </w:rPr>
      </w:pP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ОБЕКТ: „ Строителство на улици от улична мрежа в гр. Николаево, с. Елхово, с. Едрево, с. Нова махала, община Николаево</w:t>
      </w:r>
      <w:bookmarkStart w:id="0" w:name="_GoBack"/>
      <w:bookmarkEnd w:id="0"/>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гр. Николаево – Улици с обща квадратура – 8712 м2</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с. Нова махала – Улица с обща квадратура – 1062 м2</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с. Едрево – Улица с обща квадратура – 1560 м2</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с. Елхово – Улица с обща квадратура – 1308 м2</w:t>
      </w:r>
    </w:p>
    <w:p w:rsidR="00AB40E1" w:rsidRPr="00FE7C7C" w:rsidRDefault="00AB40E1" w:rsidP="00FE7C7C">
      <w:pPr>
        <w:spacing w:line="360" w:lineRule="auto"/>
        <w:jc w:val="both"/>
        <w:rPr>
          <w:rFonts w:ascii="Times New Roman" w:hAnsi="Times New Roman"/>
          <w:sz w:val="20"/>
          <w:szCs w:val="20"/>
          <w:lang w:val="bg-BG"/>
        </w:rPr>
      </w:pP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І. ОСНОВАНИЕ И ЦЕЛ НА ПРОЕКТА</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ab/>
        <w:t>За Община Николаево възниква необходимост от изготвяне на технически проекти за строителство на част от уличната мрежа в община Николаево. Настоящият проект разглежда следните участъци, за които състоянието на настилката е лошо и възпрепятства безопастността на движението:</w:t>
      </w:r>
      <w:r w:rsidRPr="00FE7C7C">
        <w:rPr>
          <w:rFonts w:ascii="Times New Roman" w:hAnsi="Times New Roman"/>
          <w:sz w:val="20"/>
          <w:szCs w:val="20"/>
          <w:lang w:val="bg-BG"/>
        </w:rPr>
        <w:tab/>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гр. Николаево – Улици с обща квадратура – 8712 м2</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с. Нова махала – Улица с обща квадратура – 1062 м2</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с. Едрево – Улица с обща квадратура – 1560 м2</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с. Елхово – Улица с обща квадратура – 1308 м2</w:t>
      </w:r>
    </w:p>
    <w:p w:rsidR="00AB40E1" w:rsidRPr="00FE7C7C" w:rsidRDefault="00AB40E1" w:rsidP="00FE7C7C">
      <w:pPr>
        <w:spacing w:line="360" w:lineRule="auto"/>
        <w:jc w:val="both"/>
        <w:rPr>
          <w:rFonts w:ascii="Times New Roman" w:hAnsi="Times New Roman"/>
          <w:sz w:val="20"/>
          <w:szCs w:val="20"/>
          <w:lang w:val="bg-BG"/>
        </w:rPr>
      </w:pP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ab/>
        <w:t>Целта на проекта е възстановяване и подобряване на транспортно-експлоатационните качества на пътната настилка с оглед осигуряване условия за безопасност на движението.</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ab/>
        <w:t>Проектът да се разработи с технически елементи съответстващи на нормите за проектиране на улични настилки и настоящето техническо задание, при условието за максимално придържане към съществуващите ширини на настилките.</w:t>
      </w:r>
    </w:p>
    <w:p w:rsidR="00AB40E1" w:rsidRPr="00FE7C7C" w:rsidRDefault="00AB40E1" w:rsidP="00FE7C7C">
      <w:pPr>
        <w:spacing w:line="360" w:lineRule="auto"/>
        <w:jc w:val="both"/>
        <w:rPr>
          <w:rFonts w:ascii="Times New Roman" w:hAnsi="Times New Roman"/>
          <w:sz w:val="20"/>
          <w:szCs w:val="20"/>
          <w:lang w:val="bg-BG"/>
        </w:rPr>
      </w:pPr>
    </w:p>
    <w:p w:rsidR="00AB40E1" w:rsidRPr="00FE7C7C" w:rsidRDefault="00AB40E1" w:rsidP="00FE7C7C">
      <w:pPr>
        <w:spacing w:line="360" w:lineRule="auto"/>
        <w:jc w:val="both"/>
        <w:rPr>
          <w:rFonts w:ascii="Times New Roman" w:hAnsi="Times New Roman"/>
          <w:sz w:val="20"/>
          <w:szCs w:val="20"/>
          <w:lang w:val="bg-BG"/>
        </w:rPr>
      </w:pP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IІІ. ОСНОВНИ ИЗИСКВАНИЯ КЪМ ПРОЕКТА</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 xml:space="preserve"> Част „Геодезия”</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Опорен полигон и нивелачни репери</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 xml:space="preserve">Заснемането на ситуацията да се извърши от трайно стабилизиран опорен полигон /координатна система БГС 2005, височинна система – EVRS 2007/. Опорният полигон да се изпълни от трайни стабилизирани точки със стоманени болтове бетонирани на подходящи места или бетонирани в бетонови блокчета 30/30/30 с железа Ф18. Изборът на точките на опорния полигон да се извърши на подходящо защитени места. Полигоновите точки да се реперират до три съществуващи трайни обекти. Минималният брой точки от опорния полигон да бъде 3 точки на километър. По възможност да се използват създадените работни точки от Кадастралната карта на съответните населени места. </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Допустимите стойности на средните квадратични грешки в положението на точките от геодезическия полигон, след изравнението не трябва да надвишават +/- 1.5 см.</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Да се създаде височинна основа от трайно стабилизирани нивелачни репери, на стабилна съществуваща основа - съоръжения, сгради, масивни скали и други. Техният брой да бъде минимум 2 броя на километър. В зависимост от конкретните теренни условия, те могат да съвпадат с точките от опорния полигон.</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При нивелачните ходове получената несвръзка между даденото и измереното превишение не трябва да надвишава стойността, изчислена по формулата: Fn =± 15√s [мм], където “s” е дължината на нивелачния ход в километри.</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Всички геодезически работи трябва да отговарят на изискванията на „Инструкция за създаване и поддържане на геодезически мрежи с местно предназначение с използването на глобални навигационни спътникови снимки”, утвърдени със заповед № РД-13-50 от 08.03.2012 г. на Изпълнителен директор на АГКК, като се спазват специфичните изисквания указани в заданието за проектиране.</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 xml:space="preserve">Опорният полигон и нивелачните репери се приемат от представител на Общината, за което се съставя двустранен протокол. </w:t>
      </w:r>
    </w:p>
    <w:p w:rsidR="00AB40E1" w:rsidRPr="00FE7C7C" w:rsidRDefault="00AB40E1" w:rsidP="00FE7C7C">
      <w:pPr>
        <w:spacing w:line="360" w:lineRule="auto"/>
        <w:jc w:val="both"/>
        <w:rPr>
          <w:rFonts w:ascii="Times New Roman" w:hAnsi="Times New Roman"/>
          <w:sz w:val="20"/>
          <w:szCs w:val="20"/>
          <w:lang w:val="bg-BG"/>
        </w:rPr>
      </w:pP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Трасиране на осовите точки и ръбове на настилката</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1.2.1. Началото и края на участъците част от настоящия проект се определят с представител на Общината, за което се съставя двустранен протокол.</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1.2.2. Трасирането на улиците да се извърши от трайно стабилизирания опорен полигон.</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1.2.2. Пикетажът да се води в проектната ос на пътя, като пикетните точки да бъдат разположени най-малко през 10 м или в характерни точки на терена.</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1.2.3. Всички пикетни точки по оста и двата ръба на настилката да бъдат изчислени с координати, обвързани с опорния полигон.</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1.2.4. Височините на трасираните точки да се определят чрез геометрична нивелация.</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1.2.5. Заснемат се всички уширения, зауствания, кръстовища, бордюрни линии и други прилежащи площи .</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1.2.6. В зоните на пътните кръстовища второстепенните направления се трасират на 40 м от ръба на настилката на главното направление и на 20 м при селскостопански зауствания и черни пътища.</w:t>
      </w:r>
    </w:p>
    <w:p w:rsidR="00AB40E1" w:rsidRPr="00FE7C7C" w:rsidRDefault="00AB40E1" w:rsidP="00FE7C7C">
      <w:pPr>
        <w:spacing w:line="360" w:lineRule="auto"/>
        <w:jc w:val="both"/>
        <w:rPr>
          <w:rFonts w:ascii="Times New Roman" w:hAnsi="Times New Roman"/>
          <w:sz w:val="20"/>
          <w:szCs w:val="20"/>
          <w:lang w:val="bg-BG"/>
        </w:rPr>
      </w:pP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2. Част „Пътна”</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Ситуация</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Техническото решение в план да съвпада със съществуващото ситуационно развитие на съответната улица при спазване нормативната уредба за проектиране. В отсечки с последователни хоризонтални криви, при липса на необходимите разстояния за преходни рампи и в участъци с единични, по-малки радиуси, неотговарящи на нормите за проектиране, могат да се предвидят ситуационни изменения с минимални отклонения от съществуващото трасе не по-големи от 0.25 м.</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 xml:space="preserve">Уширение на настилка в прав участък не се допуска. В отделни участъци при недостатъчна ширина на съществуващата настилка до 25 см, уширения да не се предвиждат при запазване на постоянна ширина на настилката. </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При променливи ширини на настилката в правите участъци или циркулярните криви да се приеме една постоянна ширина за даден участък, съответстваща на нормите за проектиране.</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ab/>
        <w:t>2.2.Нивелета</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Нивелетата да бъде проектирана с прави и вертикални криви, или с плавни нивелетни линии;</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 xml:space="preserve">2.2.2. Нивелетните прави, по възможност да бъдат запазени с постоянни надлъжни наклони. В зависимост от състоянието на уличната повърхност дългите нивелетни прави могат да бъдат проектирани с начупени нивелетни линии и оформяне на нови вертикални криви при спазване нормите за проектиране на съответния клас улици;  </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2.2.3 Проектното решение да осигури възстановяване и нормално функциониране на съществуващите отводнителните съоръжения.</w:t>
      </w:r>
    </w:p>
    <w:p w:rsidR="00AB40E1" w:rsidRPr="00FE7C7C" w:rsidRDefault="00AB40E1" w:rsidP="00FE7C7C">
      <w:pPr>
        <w:spacing w:line="360" w:lineRule="auto"/>
        <w:jc w:val="both"/>
        <w:rPr>
          <w:rFonts w:ascii="Times New Roman" w:hAnsi="Times New Roman"/>
          <w:sz w:val="20"/>
          <w:szCs w:val="20"/>
          <w:lang w:val="bg-BG"/>
        </w:rPr>
      </w:pP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3. Част „Организация на движението”</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Проекта за вертикална сигнализация с пътни знаци и хоризонтална маркировка да се разработят съгласно изискванията на Закона и Правилника за движение по пътищата и Наредби № 2 за сигнализация на пътищата с пътна маркировка ( ДВ бр.18 от 2004г), № 18 за сигнализация на пътищата с пътна маркировка ( ДВ бр.109 от 2004г.).</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Съгласуване на проектите с Направление “Пътна полиция” при съответната ОД на МВР ще се извърши  от  ВЪЗЛОЖИТЕЛЯ.</w:t>
      </w:r>
    </w:p>
    <w:p w:rsidR="00AB40E1" w:rsidRPr="00FE7C7C" w:rsidRDefault="00AB40E1" w:rsidP="00FE7C7C">
      <w:pPr>
        <w:spacing w:line="360" w:lineRule="auto"/>
        <w:jc w:val="both"/>
        <w:rPr>
          <w:rFonts w:ascii="Times New Roman" w:hAnsi="Times New Roman"/>
          <w:sz w:val="20"/>
          <w:szCs w:val="20"/>
          <w:lang w:val="bg-BG"/>
        </w:rPr>
      </w:pP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4. Част ”Временна организация на движението”</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Проекта за временна организация на движението по време на строителните дейности да се разработят съгласно изискванията на Закона и Правилника за движение по пътищата и № 3 за временна организация на движението при извършване на строителство и ремонт по пътищата и улиците (ДВ бр.74/21.09.2010 г.).</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Съгласуване на проектите с Направление “Пътна полиция” при съответната ОД на МВР ще се извърши  от  ВЪЗЛОЖИТЕЛЯ.</w:t>
      </w:r>
    </w:p>
    <w:p w:rsidR="00AB40E1" w:rsidRPr="00FE7C7C" w:rsidRDefault="00AB40E1" w:rsidP="00FE7C7C">
      <w:pPr>
        <w:spacing w:line="360" w:lineRule="auto"/>
        <w:jc w:val="both"/>
        <w:rPr>
          <w:rFonts w:ascii="Times New Roman" w:hAnsi="Times New Roman"/>
          <w:sz w:val="20"/>
          <w:szCs w:val="20"/>
          <w:lang w:val="bg-BG"/>
        </w:rPr>
      </w:pP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5. Част ”План за безопасност и здраве”</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Да се изработи план за безопасност и здраве съгласно Наредба №2 от 22.03.2004 год. за минималните изисквания за здравословни и безопасни условия на труд при извършване на строителни и монтажни работи. При изготвянето на плана да бъдат спазени основните принципи за превантивност на безопасността и опазване здравето, съгласно Закона за здравословни и безопасни условия на труд.</w:t>
      </w:r>
    </w:p>
    <w:p w:rsidR="00AB40E1" w:rsidRPr="00FE7C7C" w:rsidRDefault="00AB40E1" w:rsidP="00FE7C7C">
      <w:pPr>
        <w:spacing w:line="360" w:lineRule="auto"/>
        <w:jc w:val="both"/>
        <w:rPr>
          <w:rFonts w:ascii="Times New Roman" w:hAnsi="Times New Roman"/>
          <w:sz w:val="20"/>
          <w:szCs w:val="20"/>
          <w:lang w:val="bg-BG"/>
        </w:rPr>
      </w:pP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6. Част ” Пожарна безопасност”</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Част ”Пожарна безопасност” следва да се изработи в обхват и съдържание съгласно Приложение №3 от Наредба за строително-технически правила и норми за осигуряване на безопасност при пожар.</w:t>
      </w:r>
    </w:p>
    <w:p w:rsidR="00AB40E1" w:rsidRPr="00FE7C7C" w:rsidRDefault="00AB40E1" w:rsidP="00FE7C7C">
      <w:pPr>
        <w:spacing w:line="360" w:lineRule="auto"/>
        <w:jc w:val="both"/>
        <w:rPr>
          <w:rFonts w:ascii="Times New Roman" w:hAnsi="Times New Roman"/>
          <w:sz w:val="20"/>
          <w:szCs w:val="20"/>
          <w:lang w:val="bg-BG"/>
        </w:rPr>
      </w:pP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7. Част ”План за управление на строителни отпадъци”</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Част ” План за управление на строителни отпадъци” следва да се изработи в обхват и съдържание съгласно изискванията на Закона за управление на отпадъци и Наредба за управление на строителни отпадъци и за влагане на рециклирани строителни материали, приета с ПМС 277 от 05.11.2012г.</w:t>
      </w:r>
    </w:p>
    <w:p w:rsidR="00AB40E1" w:rsidRPr="00FE7C7C" w:rsidRDefault="00AB40E1" w:rsidP="00FE7C7C">
      <w:pPr>
        <w:spacing w:line="360" w:lineRule="auto"/>
        <w:jc w:val="both"/>
        <w:rPr>
          <w:rFonts w:ascii="Times New Roman" w:hAnsi="Times New Roman"/>
          <w:sz w:val="20"/>
          <w:szCs w:val="20"/>
          <w:lang w:val="bg-BG"/>
        </w:rPr>
      </w:pP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8. Други изисквания</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ab/>
        <w:t>Ако по време на проектирането възникнат въпроси, неизяснени с настоящето Техническо задание, задължително се уведомява Възложителя и се изисква неговото писмено съгласуване.</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ОБЕМ И СЪДЪРЖАНИЕ НА ПРОЕКТА</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 xml:space="preserve">Част “Геодезия” </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Обяснителна записка.</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 xml:space="preserve"> Таблици с координати на опорния полигон, всички главни точки, пикетни точки и на точките в техните сечения.</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Общ справочен регистър на точките от опорния полигон и нивелачните репери и резултата от ъглово линейното изравнение на полигона.</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Част “Пътна”</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 xml:space="preserve">4.2.1 Обяснителна записка </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4.2.2 Чертежи</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Чертежи да се представят в стандартни размери и съответен мащаб. Където е необходимо да бъдат приложени детайли с размери и технологични особености на изпълнението.</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Ситуация М1:1000;</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Надлъжен профил М1:1000/100;</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Тип напречен профил – М 1:50, 1:100;</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Детайли М 1:20,М 1:25 – в зависимост от спецификата в други подходящи мащаби.</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4.2.3 Таблици</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Таблици с проектни коти – в оста и в ръбовете на настилка;</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Таблица за обема на асфалтобетона.</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Част “Организация на движението”</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Обяснителна записка;</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Чертежи М1:1000.</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Част ”Временна организация на движението”</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Обяснителна записка;</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Чертежи и схеми.</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Част “План за безопасност и здраве”</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Обяснителна записка;</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Приложения и таблици;</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Строителен ситуационен план;</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Схема за сигнализация при бедствия и аварии;</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Схема на строителната площадка;</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Схема на специфичните рискове.</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Част „Пожарна безопасност”</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Обяснителна записка;</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Приложения и таблици;</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Чертежи и схеми.</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Част „План за управление на строителни отпадъци”</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Обяснителна записка – общи данни за инвестиционния проект;</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Приложения;</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Таблици:</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прогноза за образуваните СО и степента на тяхното материално оползотворяване;</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прогноза за вида и количеството на продуктите от образуваните СО, които се влагат в строежа;</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мерки, които се предприемат при управлението на образуваните СО.</w:t>
      </w:r>
    </w:p>
    <w:p w:rsidR="00AB40E1" w:rsidRPr="00FE7C7C" w:rsidRDefault="00AB40E1" w:rsidP="00FE7C7C">
      <w:pPr>
        <w:spacing w:line="360" w:lineRule="auto"/>
        <w:jc w:val="both"/>
        <w:rPr>
          <w:rFonts w:ascii="Times New Roman" w:hAnsi="Times New Roman"/>
          <w:sz w:val="20"/>
          <w:szCs w:val="20"/>
          <w:lang w:val="bg-BG"/>
        </w:rPr>
      </w:pP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 xml:space="preserve">5. Количествени сметки </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ab/>
        <w:t xml:space="preserve">Да се представят подробни количествени сметки, ведомости и таблици за видовете СМР по отделните части и обобщени за всяка улица. Във всяка количествена сметка при наличие на изкопни работи и строителни отпадъци да се включи транспортирането им на депо на разстояние от 30 км.  </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 xml:space="preserve">Да се представи количествена сметка – изготвена на EXEL. </w:t>
      </w:r>
    </w:p>
    <w:p w:rsidR="00AB40E1" w:rsidRPr="00FE7C7C" w:rsidRDefault="00AB40E1" w:rsidP="00FE7C7C">
      <w:pPr>
        <w:spacing w:line="360" w:lineRule="auto"/>
        <w:jc w:val="both"/>
        <w:rPr>
          <w:rFonts w:ascii="Times New Roman" w:hAnsi="Times New Roman"/>
          <w:sz w:val="20"/>
          <w:szCs w:val="20"/>
          <w:lang w:val="bg-BG"/>
        </w:rPr>
      </w:pP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V. ОФОРМЯНЕ И ПРЕДСТАВЯНЕ НА ПРОЕКТНИТЕ МАТЕРИАЛИ</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Проектна документация на хартия на български език, чертежи във формат А2 и А3, текстова част във формат А4 – обяснителна записка, таблици, количествени сметки и ведомости – 3 комплекта с оригинални печати и подписи;</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Магнитен носител на CD – 2бр.</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VІ. НОРМАТИВНИ ДОКУМЕНТИ</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При разработването на проектното решение да се спазват следните нормативни изисквания свързани с проектирането и строителството:</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Наредба №2 за планиране и проектиране на комуникационно-транспортните системи на урбанизираните територии ( ДВ – бр.86 от 2004г.; попр. бр93 от 2004г.)</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Действаща ”Техническа спецификация”;</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Наредба за управление на строителни отпадъци и за влагане на рециклирани строителни материали, приета с ПМС 277 от 05.11.2012г.;</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Наредба №2 за сигнализация на пътища с пътна маркировка(ДВ бр.18 от 2004г)</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Наредба №18 за сигнализация на пътища с пътни знаци ( ДВ бр.109 от 2004г.);</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Наредба № 3 за временна организация на движението при извършване на строителство и ремонт по пътищата и улиците (ДВ бр.74/21.09.2010 г.);</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Наредба №2 от 2004 г. за минималните изисквания за здравословни и безопасни условия на труд;</w:t>
      </w:r>
    </w:p>
    <w:p w:rsidR="00AB40E1" w:rsidRPr="00FE7C7C" w:rsidRDefault="00AB40E1" w:rsidP="00FE7C7C">
      <w:pPr>
        <w:spacing w:line="360" w:lineRule="auto"/>
        <w:jc w:val="both"/>
        <w:rPr>
          <w:rFonts w:ascii="Times New Roman" w:hAnsi="Times New Roman"/>
          <w:sz w:val="20"/>
          <w:szCs w:val="20"/>
          <w:lang w:val="bg-BG"/>
        </w:rPr>
      </w:pPr>
      <w:r w:rsidRPr="00FE7C7C">
        <w:rPr>
          <w:rFonts w:ascii="Times New Roman" w:hAnsi="Times New Roman"/>
          <w:sz w:val="20"/>
          <w:szCs w:val="20"/>
          <w:lang w:val="bg-BG"/>
        </w:rPr>
        <w:t>Приложение №3 от Наредба за строително-технически правила и норми за осигуряване на безопасност при пожар;</w:t>
      </w:r>
    </w:p>
    <w:p w:rsidR="00AB40E1" w:rsidRPr="00FE7C7C" w:rsidRDefault="00AB40E1" w:rsidP="00FE7C7C">
      <w:pPr>
        <w:spacing w:line="360" w:lineRule="auto"/>
        <w:jc w:val="both"/>
        <w:rPr>
          <w:rFonts w:ascii="Times New Roman" w:hAnsi="Times New Roman"/>
          <w:sz w:val="20"/>
          <w:szCs w:val="20"/>
          <w:lang w:val="ru-RU"/>
        </w:rPr>
      </w:pPr>
    </w:p>
    <w:sectPr w:rsidR="00AB40E1" w:rsidRPr="00FE7C7C" w:rsidSect="00AF4834">
      <w:pgSz w:w="11906" w:h="16838"/>
      <w:pgMar w:top="1134" w:right="1134"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5478D"/>
    <w:multiLevelType w:val="multilevel"/>
    <w:tmpl w:val="CB0878E4"/>
    <w:lvl w:ilvl="0">
      <w:start w:val="1"/>
      <w:numFmt w:val="upperRoman"/>
      <w:lvlText w:val="%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C2D121E"/>
    <w:multiLevelType w:val="hybridMultilevel"/>
    <w:tmpl w:val="B2A29402"/>
    <w:lvl w:ilvl="0" w:tplc="9246F370">
      <w:start w:val="1"/>
      <w:numFmt w:val="decimal"/>
      <w:lvlText w:val="%1."/>
      <w:lvlJc w:val="left"/>
      <w:pPr>
        <w:ind w:left="960" w:hanging="360"/>
      </w:pPr>
      <w:rPr>
        <w:rFonts w:cs="Times New Roman"/>
      </w:rPr>
    </w:lvl>
    <w:lvl w:ilvl="1" w:tplc="04020019">
      <w:start w:val="1"/>
      <w:numFmt w:val="decimal"/>
      <w:lvlText w:val="%2."/>
      <w:lvlJc w:val="left"/>
      <w:pPr>
        <w:tabs>
          <w:tab w:val="num" w:pos="1440"/>
        </w:tabs>
        <w:ind w:left="1440" w:hanging="360"/>
      </w:pPr>
      <w:rPr>
        <w:rFonts w:cs="Times New Roman"/>
      </w:rPr>
    </w:lvl>
    <w:lvl w:ilvl="2" w:tplc="0402001B">
      <w:start w:val="1"/>
      <w:numFmt w:val="decimal"/>
      <w:lvlText w:val="%3."/>
      <w:lvlJc w:val="left"/>
      <w:pPr>
        <w:tabs>
          <w:tab w:val="num" w:pos="2160"/>
        </w:tabs>
        <w:ind w:left="2160" w:hanging="36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decimal"/>
      <w:lvlText w:val="%5."/>
      <w:lvlJc w:val="left"/>
      <w:pPr>
        <w:tabs>
          <w:tab w:val="num" w:pos="3600"/>
        </w:tabs>
        <w:ind w:left="3600" w:hanging="360"/>
      </w:pPr>
      <w:rPr>
        <w:rFonts w:cs="Times New Roman"/>
      </w:rPr>
    </w:lvl>
    <w:lvl w:ilvl="5" w:tplc="0402001B">
      <w:start w:val="1"/>
      <w:numFmt w:val="decimal"/>
      <w:lvlText w:val="%6."/>
      <w:lvlJc w:val="left"/>
      <w:pPr>
        <w:tabs>
          <w:tab w:val="num" w:pos="4320"/>
        </w:tabs>
        <w:ind w:left="4320" w:hanging="36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decimal"/>
      <w:lvlText w:val="%8."/>
      <w:lvlJc w:val="left"/>
      <w:pPr>
        <w:tabs>
          <w:tab w:val="num" w:pos="5760"/>
        </w:tabs>
        <w:ind w:left="5760" w:hanging="360"/>
      </w:pPr>
      <w:rPr>
        <w:rFonts w:cs="Times New Roman"/>
      </w:rPr>
    </w:lvl>
    <w:lvl w:ilvl="8" w:tplc="0402001B">
      <w:start w:val="1"/>
      <w:numFmt w:val="decimal"/>
      <w:lvlText w:val="%9."/>
      <w:lvlJc w:val="left"/>
      <w:pPr>
        <w:tabs>
          <w:tab w:val="num" w:pos="6480"/>
        </w:tabs>
        <w:ind w:left="6480" w:hanging="360"/>
      </w:pPr>
      <w:rPr>
        <w:rFonts w:cs="Times New Roman"/>
      </w:rPr>
    </w:lvl>
  </w:abstractNum>
  <w:abstractNum w:abstractNumId="2">
    <w:nsid w:val="33AF0B64"/>
    <w:multiLevelType w:val="hybridMultilevel"/>
    <w:tmpl w:val="56B8592E"/>
    <w:lvl w:ilvl="0" w:tplc="0402000B">
      <w:start w:val="1"/>
      <w:numFmt w:val="bullet"/>
      <w:lvlText w:val=""/>
      <w:lvlJc w:val="left"/>
      <w:pPr>
        <w:ind w:left="1080" w:hanging="360"/>
      </w:pPr>
      <w:rPr>
        <w:rFonts w:ascii="Wingdings" w:hAnsi="Wingdings" w:hint="default"/>
      </w:rPr>
    </w:lvl>
    <w:lvl w:ilvl="1" w:tplc="04020019">
      <w:start w:val="1"/>
      <w:numFmt w:val="decimal"/>
      <w:lvlText w:val="%2."/>
      <w:lvlJc w:val="left"/>
      <w:pPr>
        <w:tabs>
          <w:tab w:val="num" w:pos="1440"/>
        </w:tabs>
        <w:ind w:left="1440" w:hanging="360"/>
      </w:pPr>
      <w:rPr>
        <w:rFonts w:cs="Times New Roman"/>
      </w:rPr>
    </w:lvl>
    <w:lvl w:ilvl="2" w:tplc="0402001B">
      <w:start w:val="1"/>
      <w:numFmt w:val="lowerRoman"/>
      <w:lvlText w:val="%3."/>
      <w:lvlJc w:val="right"/>
      <w:pPr>
        <w:ind w:left="252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decimal"/>
      <w:lvlText w:val="%5."/>
      <w:lvlJc w:val="left"/>
      <w:pPr>
        <w:tabs>
          <w:tab w:val="num" w:pos="3600"/>
        </w:tabs>
        <w:ind w:left="3600" w:hanging="360"/>
      </w:pPr>
      <w:rPr>
        <w:rFonts w:cs="Times New Roman"/>
      </w:rPr>
    </w:lvl>
    <w:lvl w:ilvl="5" w:tplc="0402001B">
      <w:start w:val="1"/>
      <w:numFmt w:val="decimal"/>
      <w:lvlText w:val="%6."/>
      <w:lvlJc w:val="left"/>
      <w:pPr>
        <w:tabs>
          <w:tab w:val="num" w:pos="4320"/>
        </w:tabs>
        <w:ind w:left="4320" w:hanging="36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decimal"/>
      <w:lvlText w:val="%8."/>
      <w:lvlJc w:val="left"/>
      <w:pPr>
        <w:tabs>
          <w:tab w:val="num" w:pos="5760"/>
        </w:tabs>
        <w:ind w:left="5760" w:hanging="360"/>
      </w:pPr>
      <w:rPr>
        <w:rFonts w:cs="Times New Roman"/>
      </w:rPr>
    </w:lvl>
    <w:lvl w:ilvl="8" w:tplc="0402001B">
      <w:start w:val="1"/>
      <w:numFmt w:val="decimal"/>
      <w:lvlText w:val="%9."/>
      <w:lvlJc w:val="left"/>
      <w:pPr>
        <w:tabs>
          <w:tab w:val="num" w:pos="6480"/>
        </w:tabs>
        <w:ind w:left="6480" w:hanging="360"/>
      </w:pPr>
      <w:rPr>
        <w:rFonts w:cs="Times New Roman"/>
      </w:rPr>
    </w:lvl>
  </w:abstractNum>
  <w:abstractNum w:abstractNumId="3">
    <w:nsid w:val="416F7401"/>
    <w:multiLevelType w:val="hybridMultilevel"/>
    <w:tmpl w:val="B2A29402"/>
    <w:lvl w:ilvl="0" w:tplc="9246F370">
      <w:start w:val="1"/>
      <w:numFmt w:val="decimal"/>
      <w:lvlText w:val="%1."/>
      <w:lvlJc w:val="left"/>
      <w:pPr>
        <w:ind w:left="960" w:hanging="360"/>
      </w:pPr>
      <w:rPr>
        <w:rFonts w:cs="Times New Roman"/>
      </w:rPr>
    </w:lvl>
    <w:lvl w:ilvl="1" w:tplc="04020019">
      <w:start w:val="1"/>
      <w:numFmt w:val="decimal"/>
      <w:lvlText w:val="%2."/>
      <w:lvlJc w:val="left"/>
      <w:pPr>
        <w:tabs>
          <w:tab w:val="num" w:pos="1440"/>
        </w:tabs>
        <w:ind w:left="1440" w:hanging="360"/>
      </w:pPr>
      <w:rPr>
        <w:rFonts w:cs="Times New Roman"/>
      </w:rPr>
    </w:lvl>
    <w:lvl w:ilvl="2" w:tplc="0402001B">
      <w:start w:val="1"/>
      <w:numFmt w:val="decimal"/>
      <w:lvlText w:val="%3."/>
      <w:lvlJc w:val="left"/>
      <w:pPr>
        <w:tabs>
          <w:tab w:val="num" w:pos="2160"/>
        </w:tabs>
        <w:ind w:left="2160" w:hanging="36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decimal"/>
      <w:lvlText w:val="%5."/>
      <w:lvlJc w:val="left"/>
      <w:pPr>
        <w:tabs>
          <w:tab w:val="num" w:pos="3600"/>
        </w:tabs>
        <w:ind w:left="3600" w:hanging="360"/>
      </w:pPr>
      <w:rPr>
        <w:rFonts w:cs="Times New Roman"/>
      </w:rPr>
    </w:lvl>
    <w:lvl w:ilvl="5" w:tplc="0402001B">
      <w:start w:val="1"/>
      <w:numFmt w:val="decimal"/>
      <w:lvlText w:val="%6."/>
      <w:lvlJc w:val="left"/>
      <w:pPr>
        <w:tabs>
          <w:tab w:val="num" w:pos="4320"/>
        </w:tabs>
        <w:ind w:left="4320" w:hanging="36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decimal"/>
      <w:lvlText w:val="%8."/>
      <w:lvlJc w:val="left"/>
      <w:pPr>
        <w:tabs>
          <w:tab w:val="num" w:pos="5760"/>
        </w:tabs>
        <w:ind w:left="5760" w:hanging="360"/>
      </w:pPr>
      <w:rPr>
        <w:rFonts w:cs="Times New Roman"/>
      </w:rPr>
    </w:lvl>
    <w:lvl w:ilvl="8" w:tplc="0402001B">
      <w:start w:val="1"/>
      <w:numFmt w:val="decimal"/>
      <w:lvlText w:val="%9."/>
      <w:lvlJc w:val="left"/>
      <w:pPr>
        <w:tabs>
          <w:tab w:val="num" w:pos="6480"/>
        </w:tabs>
        <w:ind w:left="6480" w:hanging="360"/>
      </w:pPr>
      <w:rPr>
        <w:rFonts w:cs="Times New Roman"/>
      </w:rPr>
    </w:lvl>
  </w:abstractNum>
  <w:abstractNum w:abstractNumId="4">
    <w:nsid w:val="55AF5B45"/>
    <w:multiLevelType w:val="hybridMultilevel"/>
    <w:tmpl w:val="4B489004"/>
    <w:lvl w:ilvl="0" w:tplc="8CF627E0">
      <w:start w:val="1"/>
      <w:numFmt w:val="bullet"/>
      <w:lvlText w:val="-"/>
      <w:lvlJc w:val="left"/>
      <w:pPr>
        <w:ind w:left="1004" w:hanging="360"/>
      </w:pPr>
      <w:rPr>
        <w:rFonts w:ascii="Times New Roman" w:hAnsi="Times New Roman" w:hint="default"/>
      </w:rPr>
    </w:lvl>
    <w:lvl w:ilvl="1" w:tplc="04020003">
      <w:start w:val="1"/>
      <w:numFmt w:val="decimal"/>
      <w:lvlText w:val="%2."/>
      <w:lvlJc w:val="left"/>
      <w:pPr>
        <w:tabs>
          <w:tab w:val="num" w:pos="1440"/>
        </w:tabs>
        <w:ind w:left="1440" w:hanging="360"/>
      </w:pPr>
      <w:rPr>
        <w:rFonts w:cs="Times New Roman"/>
      </w:rPr>
    </w:lvl>
    <w:lvl w:ilvl="2" w:tplc="04020005">
      <w:start w:val="1"/>
      <w:numFmt w:val="decimal"/>
      <w:lvlText w:val="%3."/>
      <w:lvlJc w:val="left"/>
      <w:pPr>
        <w:tabs>
          <w:tab w:val="num" w:pos="2160"/>
        </w:tabs>
        <w:ind w:left="2160" w:hanging="360"/>
      </w:pPr>
      <w:rPr>
        <w:rFonts w:cs="Times New Roman"/>
      </w:rPr>
    </w:lvl>
    <w:lvl w:ilvl="3" w:tplc="04020001">
      <w:start w:val="1"/>
      <w:numFmt w:val="decimal"/>
      <w:lvlText w:val="%4."/>
      <w:lvlJc w:val="left"/>
      <w:pPr>
        <w:tabs>
          <w:tab w:val="num" w:pos="2880"/>
        </w:tabs>
        <w:ind w:left="2880" w:hanging="360"/>
      </w:pPr>
      <w:rPr>
        <w:rFonts w:cs="Times New Roman"/>
      </w:rPr>
    </w:lvl>
    <w:lvl w:ilvl="4" w:tplc="04020003">
      <w:start w:val="1"/>
      <w:numFmt w:val="decimal"/>
      <w:lvlText w:val="%5."/>
      <w:lvlJc w:val="left"/>
      <w:pPr>
        <w:tabs>
          <w:tab w:val="num" w:pos="3600"/>
        </w:tabs>
        <w:ind w:left="3600" w:hanging="360"/>
      </w:pPr>
      <w:rPr>
        <w:rFonts w:cs="Times New Roman"/>
      </w:rPr>
    </w:lvl>
    <w:lvl w:ilvl="5" w:tplc="04020005">
      <w:start w:val="1"/>
      <w:numFmt w:val="decimal"/>
      <w:lvlText w:val="%6."/>
      <w:lvlJc w:val="left"/>
      <w:pPr>
        <w:tabs>
          <w:tab w:val="num" w:pos="4320"/>
        </w:tabs>
        <w:ind w:left="4320" w:hanging="360"/>
      </w:pPr>
      <w:rPr>
        <w:rFonts w:cs="Times New Roman"/>
      </w:rPr>
    </w:lvl>
    <w:lvl w:ilvl="6" w:tplc="04020001">
      <w:start w:val="1"/>
      <w:numFmt w:val="decimal"/>
      <w:lvlText w:val="%7."/>
      <w:lvlJc w:val="left"/>
      <w:pPr>
        <w:tabs>
          <w:tab w:val="num" w:pos="5040"/>
        </w:tabs>
        <w:ind w:left="5040" w:hanging="360"/>
      </w:pPr>
      <w:rPr>
        <w:rFonts w:cs="Times New Roman"/>
      </w:rPr>
    </w:lvl>
    <w:lvl w:ilvl="7" w:tplc="04020003">
      <w:start w:val="1"/>
      <w:numFmt w:val="decimal"/>
      <w:lvlText w:val="%8."/>
      <w:lvlJc w:val="left"/>
      <w:pPr>
        <w:tabs>
          <w:tab w:val="num" w:pos="5760"/>
        </w:tabs>
        <w:ind w:left="5760" w:hanging="360"/>
      </w:pPr>
      <w:rPr>
        <w:rFonts w:cs="Times New Roman"/>
      </w:rPr>
    </w:lvl>
    <w:lvl w:ilvl="8" w:tplc="04020005">
      <w:start w:val="1"/>
      <w:numFmt w:val="decimal"/>
      <w:lvlText w:val="%9."/>
      <w:lvlJc w:val="left"/>
      <w:pPr>
        <w:tabs>
          <w:tab w:val="num" w:pos="6480"/>
        </w:tabs>
        <w:ind w:left="6480" w:hanging="360"/>
      </w:pPr>
      <w:rPr>
        <w:rFonts w:cs="Times New Roman"/>
      </w:rPr>
    </w:lvl>
  </w:abstractNum>
  <w:abstractNum w:abstractNumId="5">
    <w:nsid w:val="599C11D1"/>
    <w:multiLevelType w:val="hybridMultilevel"/>
    <w:tmpl w:val="58621BA4"/>
    <w:lvl w:ilvl="0" w:tplc="8CF627E0">
      <w:start w:val="1"/>
      <w:numFmt w:val="bullet"/>
      <w:lvlText w:val="-"/>
      <w:lvlJc w:val="left"/>
      <w:pPr>
        <w:ind w:left="1080" w:hanging="360"/>
      </w:pPr>
      <w:rPr>
        <w:rFonts w:ascii="Times New Roman" w:hAnsi="Times New Roman" w:hint="default"/>
      </w:rPr>
    </w:lvl>
    <w:lvl w:ilvl="1" w:tplc="04020019">
      <w:start w:val="1"/>
      <w:numFmt w:val="decimal"/>
      <w:lvlText w:val="%2."/>
      <w:lvlJc w:val="left"/>
      <w:pPr>
        <w:tabs>
          <w:tab w:val="num" w:pos="1440"/>
        </w:tabs>
        <w:ind w:left="1440" w:hanging="360"/>
      </w:pPr>
      <w:rPr>
        <w:rFonts w:cs="Times New Roman"/>
      </w:rPr>
    </w:lvl>
    <w:lvl w:ilvl="2" w:tplc="0402001B">
      <w:start w:val="1"/>
      <w:numFmt w:val="lowerRoman"/>
      <w:lvlText w:val="%3."/>
      <w:lvlJc w:val="right"/>
      <w:pPr>
        <w:ind w:left="252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decimal"/>
      <w:lvlText w:val="%5."/>
      <w:lvlJc w:val="left"/>
      <w:pPr>
        <w:tabs>
          <w:tab w:val="num" w:pos="3600"/>
        </w:tabs>
        <w:ind w:left="3600" w:hanging="360"/>
      </w:pPr>
      <w:rPr>
        <w:rFonts w:cs="Times New Roman"/>
      </w:rPr>
    </w:lvl>
    <w:lvl w:ilvl="5" w:tplc="0402001B">
      <w:start w:val="1"/>
      <w:numFmt w:val="decimal"/>
      <w:lvlText w:val="%6."/>
      <w:lvlJc w:val="left"/>
      <w:pPr>
        <w:tabs>
          <w:tab w:val="num" w:pos="4320"/>
        </w:tabs>
        <w:ind w:left="4320" w:hanging="36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decimal"/>
      <w:lvlText w:val="%8."/>
      <w:lvlJc w:val="left"/>
      <w:pPr>
        <w:tabs>
          <w:tab w:val="num" w:pos="5760"/>
        </w:tabs>
        <w:ind w:left="5760" w:hanging="360"/>
      </w:pPr>
      <w:rPr>
        <w:rFonts w:cs="Times New Roman"/>
      </w:rPr>
    </w:lvl>
    <w:lvl w:ilvl="8" w:tplc="0402001B">
      <w:start w:val="1"/>
      <w:numFmt w:val="decimal"/>
      <w:lvlText w:val="%9."/>
      <w:lvlJc w:val="left"/>
      <w:pPr>
        <w:tabs>
          <w:tab w:val="num" w:pos="6480"/>
        </w:tabs>
        <w:ind w:left="6480" w:hanging="360"/>
      </w:pPr>
      <w:rPr>
        <w:rFonts w:cs="Times New Roman"/>
      </w:rPr>
    </w:lvl>
  </w:abstractNum>
  <w:abstractNum w:abstractNumId="6">
    <w:nsid w:val="6A411F99"/>
    <w:multiLevelType w:val="hybridMultilevel"/>
    <w:tmpl w:val="1530327A"/>
    <w:lvl w:ilvl="0" w:tplc="EA8A39E2">
      <w:start w:val="1"/>
      <w:numFmt w:val="bullet"/>
      <w:lvlText w:val="-"/>
      <w:lvlJc w:val="left"/>
      <w:pPr>
        <w:ind w:left="1080" w:hanging="360"/>
      </w:pPr>
      <w:rPr>
        <w:rFonts w:ascii="Times New Roman" w:eastAsia="Times New Roman" w:hAnsi="Times New Roman" w:hint="default"/>
      </w:rPr>
    </w:lvl>
    <w:lvl w:ilvl="1" w:tplc="04020003">
      <w:start w:val="1"/>
      <w:numFmt w:val="bullet"/>
      <w:lvlText w:val="o"/>
      <w:lvlJc w:val="left"/>
      <w:pPr>
        <w:ind w:left="1800" w:hanging="360"/>
      </w:pPr>
      <w:rPr>
        <w:rFonts w:ascii="Courier New" w:hAnsi="Courier New" w:hint="default"/>
      </w:rPr>
    </w:lvl>
    <w:lvl w:ilvl="2" w:tplc="04020005">
      <w:start w:val="1"/>
      <w:numFmt w:val="decimal"/>
      <w:lvlText w:val="%3."/>
      <w:lvlJc w:val="left"/>
      <w:pPr>
        <w:tabs>
          <w:tab w:val="num" w:pos="2160"/>
        </w:tabs>
        <w:ind w:left="2160" w:hanging="360"/>
      </w:pPr>
      <w:rPr>
        <w:rFonts w:cs="Times New Roman"/>
      </w:rPr>
    </w:lvl>
    <w:lvl w:ilvl="3" w:tplc="04020001">
      <w:start w:val="1"/>
      <w:numFmt w:val="decimal"/>
      <w:lvlText w:val="%4."/>
      <w:lvlJc w:val="left"/>
      <w:pPr>
        <w:tabs>
          <w:tab w:val="num" w:pos="2880"/>
        </w:tabs>
        <w:ind w:left="2880" w:hanging="360"/>
      </w:pPr>
      <w:rPr>
        <w:rFonts w:cs="Times New Roman"/>
      </w:rPr>
    </w:lvl>
    <w:lvl w:ilvl="4" w:tplc="04020003">
      <w:start w:val="1"/>
      <w:numFmt w:val="decimal"/>
      <w:lvlText w:val="%5."/>
      <w:lvlJc w:val="left"/>
      <w:pPr>
        <w:tabs>
          <w:tab w:val="num" w:pos="3600"/>
        </w:tabs>
        <w:ind w:left="3600" w:hanging="360"/>
      </w:pPr>
      <w:rPr>
        <w:rFonts w:cs="Times New Roman"/>
      </w:rPr>
    </w:lvl>
    <w:lvl w:ilvl="5" w:tplc="04020005">
      <w:start w:val="1"/>
      <w:numFmt w:val="decimal"/>
      <w:lvlText w:val="%6."/>
      <w:lvlJc w:val="left"/>
      <w:pPr>
        <w:tabs>
          <w:tab w:val="num" w:pos="4320"/>
        </w:tabs>
        <w:ind w:left="4320" w:hanging="360"/>
      </w:pPr>
      <w:rPr>
        <w:rFonts w:cs="Times New Roman"/>
      </w:rPr>
    </w:lvl>
    <w:lvl w:ilvl="6" w:tplc="04020001">
      <w:start w:val="1"/>
      <w:numFmt w:val="decimal"/>
      <w:lvlText w:val="%7."/>
      <w:lvlJc w:val="left"/>
      <w:pPr>
        <w:tabs>
          <w:tab w:val="num" w:pos="5040"/>
        </w:tabs>
        <w:ind w:left="5040" w:hanging="360"/>
      </w:pPr>
      <w:rPr>
        <w:rFonts w:cs="Times New Roman"/>
      </w:rPr>
    </w:lvl>
    <w:lvl w:ilvl="7" w:tplc="04020003">
      <w:start w:val="1"/>
      <w:numFmt w:val="decimal"/>
      <w:lvlText w:val="%8."/>
      <w:lvlJc w:val="left"/>
      <w:pPr>
        <w:tabs>
          <w:tab w:val="num" w:pos="5760"/>
        </w:tabs>
        <w:ind w:left="5760" w:hanging="360"/>
      </w:pPr>
      <w:rPr>
        <w:rFonts w:cs="Times New Roman"/>
      </w:rPr>
    </w:lvl>
    <w:lvl w:ilvl="8" w:tplc="04020005">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0993"/>
    <w:rsid w:val="00034704"/>
    <w:rsid w:val="00126A97"/>
    <w:rsid w:val="00150869"/>
    <w:rsid w:val="001E7BFA"/>
    <w:rsid w:val="00663581"/>
    <w:rsid w:val="00732F4C"/>
    <w:rsid w:val="00791C42"/>
    <w:rsid w:val="00882A1B"/>
    <w:rsid w:val="00933AE8"/>
    <w:rsid w:val="00AB40E1"/>
    <w:rsid w:val="00AF4834"/>
    <w:rsid w:val="00C60993"/>
    <w:rsid w:val="00D06D0B"/>
    <w:rsid w:val="00DB5495"/>
    <w:rsid w:val="00DF6EFF"/>
    <w:rsid w:val="00F54AE1"/>
    <w:rsid w:val="00F77169"/>
    <w:rsid w:val="00FB3E6B"/>
    <w:rsid w:val="00FE7C7C"/>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993"/>
    <w:pPr>
      <w:spacing w:after="160" w:line="256" w:lineRule="auto"/>
    </w:pPr>
    <w:rPr>
      <w:lang w:val="en-GB" w:eastAsia="en-US"/>
    </w:rPr>
  </w:style>
  <w:style w:type="paragraph" w:styleId="Heading1">
    <w:name w:val="heading 1"/>
    <w:aliases w:val="14pt,14ptHeading,Chapitre,h1,H1,H11,H12,H111,H13,H112,H14,H113,H15,H114,H16,H115,H17,H116,H18,H117,H19,H118,H110,H119,H120,H1110"/>
    <w:basedOn w:val="Normal"/>
    <w:next w:val="Normal"/>
    <w:link w:val="Heading1Char"/>
    <w:uiPriority w:val="99"/>
    <w:qFormat/>
    <w:rsid w:val="00C60993"/>
    <w:pPr>
      <w:keepNext/>
      <w:spacing w:before="120" w:after="0" w:line="240" w:lineRule="auto"/>
      <w:ind w:left="5040" w:firstLine="720"/>
      <w:jc w:val="both"/>
      <w:outlineLvl w:val="0"/>
    </w:pPr>
    <w:rPr>
      <w:rFonts w:ascii="Arial" w:eastAsia="Times New Roman" w:hAnsi="Arial"/>
      <w:sz w:val="24"/>
      <w:szCs w:val="20"/>
      <w:lang w:val="bg-BG" w:eastAsia="bg-BG"/>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4pt Char,14ptHeading Char,Chapitre Char,h1 Char,H1 Char,H11 Char,H12 Char,H111 Char,H13 Char,H112 Char,H14 Char,H113 Char,H15 Char,H114 Char,H16 Char,H115 Char,H17 Char,H116 Char,H18 Char,H117 Char,H19 Char,H118 Char,H110 Char,H119 Char"/>
    <w:basedOn w:val="DefaultParagraphFont"/>
    <w:link w:val="Heading1"/>
    <w:uiPriority w:val="99"/>
    <w:locked/>
    <w:rsid w:val="00C60993"/>
    <w:rPr>
      <w:rFonts w:ascii="Arial" w:hAnsi="Arial" w:cs="Times New Roman"/>
      <w:sz w:val="20"/>
      <w:szCs w:val="20"/>
      <w:lang w:eastAsia="bg-BG"/>
    </w:rPr>
  </w:style>
  <w:style w:type="character" w:customStyle="1" w:styleId="NoSpacingChar">
    <w:name w:val="No Spacing Char"/>
    <w:link w:val="NoSpacing"/>
    <w:uiPriority w:val="99"/>
    <w:locked/>
    <w:rsid w:val="00C60993"/>
    <w:rPr>
      <w:sz w:val="22"/>
      <w:lang w:val="bg-BG" w:eastAsia="en-US"/>
    </w:rPr>
  </w:style>
  <w:style w:type="paragraph" w:styleId="NoSpacing">
    <w:name w:val="No Spacing"/>
    <w:link w:val="NoSpacingChar"/>
    <w:uiPriority w:val="99"/>
    <w:qFormat/>
    <w:rsid w:val="00C60993"/>
    <w:rPr>
      <w:lang w:eastAsia="en-US"/>
    </w:rPr>
  </w:style>
  <w:style w:type="paragraph" w:styleId="ListParagraph">
    <w:name w:val="List Paragraph"/>
    <w:basedOn w:val="Normal"/>
    <w:uiPriority w:val="99"/>
    <w:qFormat/>
    <w:rsid w:val="00C60993"/>
    <w:pPr>
      <w:spacing w:after="200" w:line="276" w:lineRule="auto"/>
      <w:ind w:left="720"/>
      <w:contextualSpacing/>
    </w:pPr>
    <w:rPr>
      <w:rFonts w:eastAsia="Times New Roman"/>
      <w:lang w:val="bg-BG"/>
    </w:rPr>
  </w:style>
  <w:style w:type="character" w:customStyle="1" w:styleId="Bodytext3">
    <w:name w:val="Body text (3)_"/>
    <w:basedOn w:val="DefaultParagraphFont"/>
    <w:link w:val="Bodytext30"/>
    <w:uiPriority w:val="99"/>
    <w:locked/>
    <w:rsid w:val="00C60993"/>
    <w:rPr>
      <w:rFonts w:ascii="Times New Roman" w:hAnsi="Times New Roman" w:cs="Times New Roman"/>
      <w:shd w:val="clear" w:color="auto" w:fill="FFFFFF"/>
    </w:rPr>
  </w:style>
  <w:style w:type="paragraph" w:customStyle="1" w:styleId="Bodytext30">
    <w:name w:val="Body text (3)"/>
    <w:basedOn w:val="Normal"/>
    <w:link w:val="Bodytext3"/>
    <w:uiPriority w:val="99"/>
    <w:rsid w:val="00C60993"/>
    <w:pPr>
      <w:widowControl w:val="0"/>
      <w:shd w:val="clear" w:color="auto" w:fill="FFFFFF"/>
      <w:spacing w:after="300" w:line="240" w:lineRule="atLeast"/>
      <w:ind w:hanging="660"/>
    </w:pPr>
    <w:rPr>
      <w:rFonts w:ascii="Times New Roman" w:eastAsia="Times New Roman" w:hAnsi="Times New Roman"/>
      <w:lang w:val="bg-BG"/>
    </w:rPr>
  </w:style>
  <w:style w:type="paragraph" w:styleId="BodyText">
    <w:name w:val="Body Text"/>
    <w:basedOn w:val="Normal"/>
    <w:link w:val="BodyTextChar"/>
    <w:uiPriority w:val="99"/>
    <w:rsid w:val="00791C42"/>
    <w:pPr>
      <w:spacing w:after="120" w:line="240" w:lineRule="auto"/>
    </w:pPr>
    <w:rPr>
      <w:rFonts w:ascii="Times New Roman" w:hAnsi="Times New Roman"/>
      <w:sz w:val="20"/>
      <w:szCs w:val="20"/>
      <w:lang w:val="en-US"/>
    </w:rPr>
  </w:style>
  <w:style w:type="character" w:customStyle="1" w:styleId="BodyTextChar">
    <w:name w:val="Body Text Char"/>
    <w:basedOn w:val="DefaultParagraphFont"/>
    <w:link w:val="BodyText"/>
    <w:uiPriority w:val="99"/>
    <w:semiHidden/>
    <w:locked/>
    <w:rsid w:val="00791C42"/>
    <w:rPr>
      <w:rFonts w:cs="Times New Roman"/>
      <w:lang w:val="en-US" w:eastAsia="en-US" w:bidi="ar-SA"/>
    </w:rPr>
  </w:style>
</w:styles>
</file>

<file path=word/webSettings.xml><?xml version="1.0" encoding="utf-8"?>
<w:webSettings xmlns:r="http://schemas.openxmlformats.org/officeDocument/2006/relationships" xmlns:w="http://schemas.openxmlformats.org/wordprocessingml/2006/main">
  <w:divs>
    <w:div w:id="19560565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7</Pages>
  <Words>1767</Words>
  <Characters>10077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2018-06-12T21:22:00Z</dcterms:created>
  <dcterms:modified xsi:type="dcterms:W3CDTF">2018-06-13T13:18:00Z</dcterms:modified>
</cp:coreProperties>
</file>